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t xml:space="preserve">Figure No. 1: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Nausea (n=40)</w:t>
      </w: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4127637" cy="2419350"/>
            <wp:effectExtent l="19050" t="0" r="6213" b="0"/>
            <wp:docPr id="149" name="Object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t xml:space="preserve">Figure No.2: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Vomiting   (n=40)</w:t>
      </w: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4105034" cy="2771775"/>
            <wp:effectExtent l="19050" t="0" r="0" b="0"/>
            <wp:docPr id="19" name="Objec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Figure No. 3: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Abdominal Pain (n=40)</w:t>
      </w:r>
    </w:p>
    <w:p w:rsidR="00853CC8" w:rsidRPr="008147AB" w:rsidRDefault="00853CC8" w:rsidP="00853CC8">
      <w:pPr>
        <w:rPr>
          <w:rFonts w:ascii="Times New Roman" w:hAnsi="Times New Roman" w:cs="Times New Roman"/>
        </w:rPr>
      </w:pP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3933825" cy="2684257"/>
            <wp:effectExtent l="19050" t="0" r="0" b="0"/>
            <wp:docPr id="21" name="Objec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t xml:space="preserve">Figure No. 4: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Jaundice (n=40)</w:t>
      </w: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4591477" cy="2647950"/>
            <wp:effectExtent l="19050" t="0" r="0" b="0"/>
            <wp:docPr id="25" name="Objec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</w:rPr>
        <w:br w:type="page"/>
      </w:r>
      <w:r w:rsidRPr="008147AB">
        <w:rPr>
          <w:rFonts w:ascii="Times New Roman" w:hAnsi="Times New Roman" w:cs="Times New Roman"/>
          <w:b/>
        </w:rPr>
        <w:lastRenderedPageBreak/>
        <w:t xml:space="preserve">Figure No </w:t>
      </w:r>
      <w:proofErr w:type="gramStart"/>
      <w:r w:rsidRPr="008147AB">
        <w:rPr>
          <w:rFonts w:ascii="Times New Roman" w:hAnsi="Times New Roman" w:cs="Times New Roman"/>
          <w:b/>
        </w:rPr>
        <w:t>5 :</w:t>
      </w:r>
      <w:proofErr w:type="gramEnd"/>
      <w:r w:rsidRPr="008147AB">
        <w:rPr>
          <w:rFonts w:ascii="Times New Roman" w:hAnsi="Times New Roman" w:cs="Times New Roman"/>
          <w:b/>
        </w:rPr>
        <w:t xml:space="preserve">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Bitter Taste (n=40)</w:t>
      </w: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3609975" cy="2124075"/>
            <wp:effectExtent l="19050" t="0" r="9525" b="0"/>
            <wp:docPr id="28" name="Objec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t xml:space="preserve">Figure No. 6: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</w:t>
      </w:r>
      <w:proofErr w:type="spellStart"/>
      <w:r w:rsidRPr="008147AB">
        <w:rPr>
          <w:rFonts w:ascii="Times New Roman" w:hAnsi="Times New Roman" w:cs="Times New Roman"/>
          <w:b/>
        </w:rPr>
        <w:t>Diarrhoea</w:t>
      </w:r>
      <w:proofErr w:type="spellEnd"/>
      <w:r w:rsidRPr="008147AB">
        <w:rPr>
          <w:rFonts w:ascii="Times New Roman" w:hAnsi="Times New Roman" w:cs="Times New Roman"/>
          <w:b/>
        </w:rPr>
        <w:t xml:space="preserve"> (n=40)</w:t>
      </w:r>
    </w:p>
    <w:p w:rsidR="00853CC8" w:rsidRPr="008147AB" w:rsidRDefault="00853CC8" w:rsidP="00853CC8">
      <w:pPr>
        <w:rPr>
          <w:rFonts w:ascii="Times New Roman" w:hAnsi="Times New Roman" w:cs="Times New Roman"/>
        </w:rPr>
      </w:pPr>
    </w:p>
    <w:p w:rsidR="00853CC8" w:rsidRPr="008147AB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3426183" cy="2305050"/>
            <wp:effectExtent l="19050" t="0" r="2817" b="0"/>
            <wp:docPr id="29" name="Objec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Figure No. 7: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Insomnia (n=40)</w:t>
      </w:r>
    </w:p>
    <w:p w:rsidR="00853CC8" w:rsidRDefault="00853CC8" w:rsidP="00853CC8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noProof/>
        </w:rPr>
        <w:drawing>
          <wp:inline distT="0" distB="0" distL="0" distR="0">
            <wp:extent cx="3839945" cy="2733675"/>
            <wp:effectExtent l="19050" t="0" r="8155" b="0"/>
            <wp:docPr id="32" name="Objec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3CC8" w:rsidRDefault="00853CC8" w:rsidP="00853CC8">
      <w:pPr>
        <w:rPr>
          <w:rFonts w:ascii="Times New Roman" w:hAnsi="Times New Roman" w:cs="Times New Roman"/>
          <w:b/>
        </w:rPr>
      </w:pP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t xml:space="preserve">Figure No.8: Efficacy evaluation of </w:t>
      </w:r>
      <w:proofErr w:type="spellStart"/>
      <w:r w:rsidRPr="008147AB">
        <w:rPr>
          <w:rFonts w:ascii="Times New Roman" w:hAnsi="Times New Roman" w:cs="Times New Roman"/>
          <w:b/>
          <w:i/>
        </w:rPr>
        <w:t>Jawarish</w:t>
      </w:r>
      <w:proofErr w:type="spellEnd"/>
      <w:r w:rsidRPr="008147A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  <w:i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Renal Function Tests   (n=40)</w:t>
      </w:r>
    </w:p>
    <w:p w:rsidR="00853CC8" w:rsidRPr="008147AB" w:rsidRDefault="00853CC8" w:rsidP="00853CC8">
      <w:pPr>
        <w:jc w:val="center"/>
        <w:rPr>
          <w:rFonts w:ascii="Times New Roman" w:hAnsi="Times New Roman" w:cs="Times New Roman"/>
          <w:b/>
        </w:rPr>
      </w:pPr>
    </w:p>
    <w:tbl>
      <w:tblPr>
        <w:tblW w:w="86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0"/>
        <w:gridCol w:w="4500"/>
      </w:tblGrid>
      <w:tr w:rsidR="00853CC8" w:rsidRPr="008147AB" w:rsidTr="00816637">
        <w:trPr>
          <w:trHeight w:val="263"/>
        </w:trPr>
        <w:tc>
          <w:tcPr>
            <w:tcW w:w="4140" w:type="dxa"/>
          </w:tcPr>
          <w:p w:rsidR="00853CC8" w:rsidRPr="008147AB" w:rsidRDefault="00853CC8" w:rsidP="00816637">
            <w:pPr>
              <w:pStyle w:val="NormalWeb"/>
              <w:jc w:val="both"/>
              <w:rPr>
                <w:b/>
                <w:bCs/>
              </w:rPr>
            </w:pPr>
            <w:r w:rsidRPr="008147AB">
              <w:rPr>
                <w:b/>
                <w:bCs/>
                <w:noProof/>
              </w:rPr>
              <w:drawing>
                <wp:inline distT="0" distB="0" distL="0" distR="0">
                  <wp:extent cx="2581275" cy="229552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53CC8" w:rsidRPr="008147AB" w:rsidRDefault="00853CC8" w:rsidP="00816637">
            <w:pPr>
              <w:pStyle w:val="NormalWeb"/>
              <w:jc w:val="both"/>
              <w:rPr>
                <w:b/>
                <w:bCs/>
              </w:rPr>
            </w:pPr>
            <w:r w:rsidRPr="008147AB">
              <w:rPr>
                <w:b/>
                <w:bCs/>
                <w:noProof/>
              </w:rPr>
              <w:drawing>
                <wp:inline distT="0" distB="0" distL="0" distR="0">
                  <wp:extent cx="2952750" cy="23241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3CC8" w:rsidRDefault="00853CC8" w:rsidP="00853CC8"/>
    <w:p w:rsidR="00853CC8" w:rsidRDefault="00853CC8">
      <w:r>
        <w:br w:type="page"/>
      </w:r>
    </w:p>
    <w:p w:rsidR="00853CC8" w:rsidRPr="008147AB" w:rsidRDefault="00853CC8" w:rsidP="00853CC8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Figure No. 9: Efficacy evaluation of </w:t>
      </w:r>
      <w:proofErr w:type="spellStart"/>
      <w:r w:rsidRPr="008147AB">
        <w:rPr>
          <w:rFonts w:ascii="Times New Roman" w:hAnsi="Times New Roman" w:cs="Times New Roman"/>
          <w:b/>
        </w:rPr>
        <w:t>Jawarish</w:t>
      </w:r>
      <w:proofErr w:type="spellEnd"/>
      <w:r w:rsidRPr="008147AB">
        <w:rPr>
          <w:rFonts w:ascii="Times New Roman" w:hAnsi="Times New Roman" w:cs="Times New Roman"/>
          <w:b/>
        </w:rPr>
        <w:t xml:space="preserve"> </w:t>
      </w:r>
      <w:proofErr w:type="spellStart"/>
      <w:r w:rsidRPr="008147AB">
        <w:rPr>
          <w:rFonts w:ascii="Times New Roman" w:hAnsi="Times New Roman" w:cs="Times New Roman"/>
          <w:b/>
        </w:rPr>
        <w:t>Amla</w:t>
      </w:r>
      <w:proofErr w:type="spellEnd"/>
      <w:r w:rsidRPr="008147AB">
        <w:rPr>
          <w:rFonts w:ascii="Times New Roman" w:hAnsi="Times New Roman" w:cs="Times New Roman"/>
          <w:b/>
        </w:rPr>
        <w:t xml:space="preserve"> on Liver Function Tests (n=40)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4500"/>
      </w:tblGrid>
      <w:tr w:rsidR="00853CC8" w:rsidRPr="008147AB" w:rsidTr="00816637">
        <w:trPr>
          <w:trHeight w:val="278"/>
        </w:trPr>
        <w:tc>
          <w:tcPr>
            <w:tcW w:w="3960" w:type="dxa"/>
          </w:tcPr>
          <w:p w:rsidR="00853CC8" w:rsidRPr="008147AB" w:rsidRDefault="00853CC8" w:rsidP="00816637">
            <w:pPr>
              <w:pStyle w:val="NormalWeb"/>
              <w:jc w:val="both"/>
              <w:rPr>
                <w:b/>
                <w:bCs/>
              </w:rPr>
            </w:pPr>
            <w:r w:rsidRPr="008147AB">
              <w:rPr>
                <w:b/>
                <w:bCs/>
                <w:noProof/>
              </w:rPr>
              <w:drawing>
                <wp:inline distT="0" distB="0" distL="0" distR="0">
                  <wp:extent cx="2657475" cy="25146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53CC8" w:rsidRPr="008147AB" w:rsidRDefault="00853CC8" w:rsidP="00816637">
            <w:pPr>
              <w:pStyle w:val="NormalWeb"/>
              <w:jc w:val="both"/>
              <w:rPr>
                <w:b/>
                <w:bCs/>
              </w:rPr>
            </w:pPr>
            <w:r w:rsidRPr="008147AB">
              <w:rPr>
                <w:b/>
                <w:bCs/>
                <w:noProof/>
              </w:rPr>
              <w:drawing>
                <wp:inline distT="0" distB="0" distL="0" distR="0">
                  <wp:extent cx="2800350" cy="25146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CC8" w:rsidRPr="008147AB" w:rsidTr="00816637">
        <w:trPr>
          <w:trHeight w:val="278"/>
        </w:trPr>
        <w:tc>
          <w:tcPr>
            <w:tcW w:w="3960" w:type="dxa"/>
          </w:tcPr>
          <w:p w:rsidR="00853CC8" w:rsidRPr="008147AB" w:rsidRDefault="00853CC8" w:rsidP="00816637">
            <w:pPr>
              <w:pStyle w:val="NormalWeb"/>
              <w:jc w:val="both"/>
              <w:rPr>
                <w:b/>
                <w:bCs/>
              </w:rPr>
            </w:pPr>
            <w:r w:rsidRPr="008147AB">
              <w:rPr>
                <w:b/>
                <w:bCs/>
                <w:noProof/>
              </w:rPr>
              <w:drawing>
                <wp:inline distT="0" distB="0" distL="0" distR="0">
                  <wp:extent cx="2533650" cy="25431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54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53CC8" w:rsidRPr="008147AB" w:rsidRDefault="00853CC8" w:rsidP="00816637">
            <w:pPr>
              <w:pStyle w:val="NormalWeb"/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rect id="_x0000_s1075" style="position:absolute;left:0;text-align:left;margin-left:-58.05pt;margin-top:106.55pt;width:132.95pt;height:23.35pt;rotation:90;z-index:251658240;mso-position-horizontal-relative:text;mso-position-vertical-relative:text" filled="f" stroked="f">
                  <v:textbox style="mso-next-textbox:#_x0000_s1075" inset="0,0,0,0">
                    <w:txbxContent>
                      <w:p w:rsidR="00853CC8" w:rsidRDefault="00853CC8" w:rsidP="00853CC8">
                        <w:r w:rsidRPr="00F344E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20"/>
                          </w:rPr>
                          <w:t xml:space="preserve">Total </w:t>
                        </w:r>
                        <w:proofErr w:type="spellStart"/>
                        <w:r w:rsidRPr="00F344E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20"/>
                          </w:rPr>
                          <w:t>Bilirubin</w:t>
                        </w:r>
                        <w:proofErr w:type="spellEnd"/>
                        <w:r w:rsidRPr="00F344E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20"/>
                          </w:rPr>
                          <w:t xml:space="preserve"> mg/dl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pict>
                <v:group id="_x0000_s1026" editas="canvas" style="width:207.75pt;height:207.35pt;mso-position-horizontal-relative:char;mso-position-vertical-relative:line" coordsize="4155,414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4155;height:4147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56;top:75;width:4043;height:3960" stroked="f"/>
                  <v:rect id="_x0000_s1029" style="position:absolute;left:659;top:225;width:3284;height:3390" stroked="f"/>
                  <v:rect id="_x0000_s1030" style="position:absolute;left:1005;top:1950;width:469;height:1665" fillcolor="#669" strokeweight="31e-5mm"/>
                  <v:rect id="_x0000_s1031" style="position:absolute;left:2647;top:1245;width:469;height:2370" fillcolor="#669" strokeweight="31e-5mm"/>
                  <v:rect id="_x0000_s1032" style="position:absolute;left:1474;top:1695;width:469;height:1920" fillcolor="red" strokeweight="31e-5mm"/>
                  <v:line id="_x0000_s1033" style="position:absolute;flip:y" from="1240,1320" to="1241,1950" strokeweight="31e-5mm"/>
                  <v:line id="_x0000_s1034" style="position:absolute" from="1206,1320" to="1284,1321" strokeweight="31e-5mm"/>
                  <v:line id="_x0000_s1035" style="position:absolute;flip:y" from="2882,540" to="2883,1245" strokeweight="31e-5mm"/>
                  <v:line id="_x0000_s1036" style="position:absolute" from="2848,540" to="2926,541" strokeweight="31e-5mm"/>
                  <v:line id="_x0000_s1037" style="position:absolute" from="1240,1950" to="1241,2565" strokeweight="31e-5mm"/>
                  <v:line id="_x0000_s1038" style="position:absolute" from="1206,2565" to="1284,2566" strokeweight="31e-5mm"/>
                  <v:line id="_x0000_s1039" style="position:absolute" from="2882,1245" to="2883,1950" strokeweight="31e-5mm"/>
                  <v:line id="_x0000_s1040" style="position:absolute" from="2848,1950" to="2926,1951" strokeweight="31e-5mm"/>
                  <v:line id="_x0000_s1041" style="position:absolute;flip:y" from="1709,795" to="1710,1695" strokeweight="31e-5mm"/>
                  <v:line id="_x0000_s1042" style="position:absolute" from="1675,795" to="1754,796" strokeweight="31e-5mm"/>
                  <v:line id="_x0000_s1043" style="position:absolute;flip:y" from="3351,450" to="3352,1725" strokeweight="31e-5mm"/>
                  <v:line id="_x0000_s1044" style="position:absolute" from="3317,450" to="3395,451" strokeweight="31e-5mm"/>
                  <v:line id="_x0000_s1045" style="position:absolute" from="1709,1695" to="1710,2595" strokeweight="31e-5mm"/>
                  <v:line id="_x0000_s1046" style="position:absolute" from="1675,2595" to="1754,2596" strokeweight="31e-5mm"/>
                  <v:line id="_x0000_s1047" style="position:absolute" from="3351,1725" to="3352,3000" strokeweight="31e-5mm"/>
                  <v:line id="_x0000_s1048" style="position:absolute" from="3317,3000" to="3395,3001" strokeweight="31e-5mm"/>
                  <v:line id="_x0000_s1049" style="position:absolute" from="659,225" to="660,3615" strokeweight="31e-5mm"/>
                  <v:line id="_x0000_s1050" style="position:absolute" from="625,3615" to="659,3616" strokeweight="31e-5mm"/>
                  <v:line id="_x0000_s1051" style="position:absolute" from="625,3045" to="659,3046" strokeweight="31e-5mm"/>
                  <v:line id="_x0000_s1052" style="position:absolute" from="625,2490" to="659,2491" strokeweight="31e-5mm"/>
                  <v:line id="_x0000_s1053" style="position:absolute" from="625,1920" to="659,1921" strokeweight="31e-5mm"/>
                  <v:line id="_x0000_s1054" style="position:absolute" from="625,1350" to="659,1351" strokeweight="31e-5mm"/>
                  <v:line id="_x0000_s1055" style="position:absolute" from="625,795" to="659,796" strokeweight="31e-5mm"/>
                  <v:line id="_x0000_s1056" style="position:absolute" from="625,225" to="659,226" strokeweight="31e-5mm"/>
                  <v:line id="_x0000_s1057" style="position:absolute" from="659,3615" to="3943,3616" strokeweight="61e-5mm"/>
                  <v:line id="_x0000_s1058" style="position:absolute;flip:y" from="659,3615" to="660,3660" strokeweight="61e-5mm"/>
                  <v:line id="_x0000_s1059" style="position:absolute;flip:y" from="2301,3615" to="2302,3660" strokeweight="61e-5mm"/>
                  <v:line id="_x0000_s1060" style="position:absolute;flip:y" from="3943,3615" to="3944,3660" strokeweight="61e-5mm"/>
                  <v:rect id="_x0000_s1061" style="position:absolute;left:503;top:3510;width:89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62" style="position:absolute;left:402;top:2940;width:223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0.2</w:t>
                          </w:r>
                        </w:p>
                      </w:txbxContent>
                    </v:textbox>
                  </v:rect>
                  <v:rect id="_x0000_s1063" style="position:absolute;left:402;top:2385;width:223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0.4</w:t>
                          </w:r>
                        </w:p>
                      </w:txbxContent>
                    </v:textbox>
                  </v:rect>
                  <v:rect id="_x0000_s1064" style="position:absolute;left:402;top:1815;width:223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0.6</w:t>
                          </w:r>
                        </w:p>
                      </w:txbxContent>
                    </v:textbox>
                  </v:rect>
                  <v:rect id="_x0000_s1065" style="position:absolute;left:402;top:1245;width:223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0.8</w:t>
                          </w:r>
                        </w:p>
                      </w:txbxContent>
                    </v:textbox>
                  </v:rect>
                  <v:rect id="_x0000_s1066" style="position:absolute;left:503;top:690;width:89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67" style="position:absolute;left:402;top:120;width:223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1.2</w:t>
                          </w:r>
                        </w:p>
                      </w:txbxContent>
                    </v:textbox>
                  </v:rect>
                  <v:rect id="_x0000_s1068" style="position:absolute;left:1396;top:3735;width:214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BT</w:t>
                          </w:r>
                        </w:p>
                      </w:txbxContent>
                    </v:textbox>
                  </v:rect>
                  <v:rect id="_x0000_s1069" style="position:absolute;left:3038;top:3735;width:214;height:412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AT</w:t>
                          </w:r>
                        </w:p>
                      </w:txbxContent>
                    </v:textbox>
                  </v:rect>
                  <v:rect id="_x0000_s1070" style="position:absolute;left:1899;top:75;width:893;height:600" stroked="f"/>
                  <v:rect id="_x0000_s1071" style="position:absolute;left:2055;top:165;width:78;height:105" fillcolor="#669" strokeweight="31e-5mm"/>
                  <v:rect id="_x0000_s1072" style="position:absolute;left:2178;top:105;width:720;height:438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Group A</w:t>
                          </w:r>
                        </w:p>
                      </w:txbxContent>
                    </v:textbox>
                  </v:rect>
                  <v:rect id="_x0000_s1073" style="position:absolute;left:2055;top:465;width:78;height:105" fillcolor="red" strokeweight="31e-5mm"/>
                  <v:rect id="_x0000_s1074" style="position:absolute;left:2178;top:405;width:720;height:438;mso-wrap-style:none" filled="f" stroked="f">
                    <v:textbox style="mso-fit-shape-to-text:t" inset="0,0,0,0">
                      <w:txbxContent>
                        <w:p w:rsidR="00853CC8" w:rsidRDefault="00853CC8" w:rsidP="00853CC8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Group B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</w:tbl>
    <w:p w:rsidR="00853CC8" w:rsidRPr="008147AB" w:rsidRDefault="00853CC8" w:rsidP="00853CC8">
      <w:pPr>
        <w:rPr>
          <w:rFonts w:ascii="Times New Roman" w:hAnsi="Times New Roman" w:cs="Times New Roman"/>
          <w:sz w:val="24"/>
          <w:szCs w:val="24"/>
        </w:rPr>
      </w:pPr>
    </w:p>
    <w:p w:rsidR="00601405" w:rsidRDefault="00601405" w:rsidP="00853CC8"/>
    <w:sectPr w:rsidR="0060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3CC8"/>
    <w:rsid w:val="00601405"/>
    <w:rsid w:val="0085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4.emf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Office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6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03954802259887E-2"/>
          <c:y val="1.3029315960912086E-2"/>
          <c:w val="0.7777777777777809"/>
          <c:h val="0.83387622149837581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30</c:v>
                </c:pt>
                <c:pt idx="1">
                  <c:v>0</c:v>
                </c:pt>
                <c:pt idx="3">
                  <c:v>45</c:v>
                </c:pt>
                <c:pt idx="4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60</c:v>
                </c:pt>
                <c:pt idx="1">
                  <c:v>5</c:v>
                </c:pt>
                <c:pt idx="3">
                  <c:v>40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3">
                  <c:v>15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60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20980096"/>
        <c:axId val="29264128"/>
        <c:axId val="0"/>
      </c:bar3DChart>
      <c:catAx>
        <c:axId val="209800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9264128"/>
        <c:crosses val="autoZero"/>
        <c:auto val="1"/>
        <c:lblAlgn val="ctr"/>
        <c:lblOffset val="100"/>
        <c:tickLblSkip val="1"/>
        <c:tickMarkSkip val="1"/>
      </c:catAx>
      <c:valAx>
        <c:axId val="29264128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3.7664783427495546E-3"/>
              <c:y val="0.3452768729641720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98009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8306188925081459"/>
          <c:w val="0.16384180790960437"/>
          <c:h val="0.2149837133550489"/>
        </c:manualLayout>
      </c:layout>
      <c:spPr>
        <a:noFill/>
        <a:ln w="25400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4161958568738227E-2"/>
          <c:y val="1.1267605633802927E-2"/>
          <c:w val="0.77401129943503155"/>
          <c:h val="0.84788732394366151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70</c:v>
                </c:pt>
                <c:pt idx="1">
                  <c:v>0</c:v>
                </c:pt>
                <c:pt idx="3">
                  <c:v>70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30</c:v>
                </c:pt>
                <c:pt idx="1">
                  <c:v>80</c:v>
                </c:pt>
                <c:pt idx="3">
                  <c:v>20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55888512"/>
        <c:axId val="55890304"/>
        <c:axId val="0"/>
      </c:bar3DChart>
      <c:catAx>
        <c:axId val="558885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5890304"/>
        <c:crosses val="autoZero"/>
        <c:auto val="1"/>
        <c:lblAlgn val="ctr"/>
        <c:lblOffset val="100"/>
        <c:tickLblSkip val="1"/>
        <c:tickMarkSkip val="1"/>
      </c:catAx>
      <c:valAx>
        <c:axId val="55890304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0"/>
              <c:y val="0.3549295774647914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5888512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7746478873238938"/>
          <c:w val="0.16384180790960437"/>
          <c:h val="0.21408450704225351"/>
        </c:manualLayout>
      </c:layout>
      <c:spPr>
        <a:noFill/>
        <a:ln w="25400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4161958568738227E-2"/>
          <c:y val="1.1111111111111125E-2"/>
          <c:w val="0.77401129943503155"/>
          <c:h val="0.84722222222222221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65</c:v>
                </c:pt>
                <c:pt idx="1">
                  <c:v>20</c:v>
                </c:pt>
                <c:pt idx="3">
                  <c:v>70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35</c:v>
                </c:pt>
                <c:pt idx="1">
                  <c:v>50</c:v>
                </c:pt>
                <c:pt idx="3">
                  <c:v>15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25</c:v>
                </c:pt>
                <c:pt idx="3">
                  <c:v>15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56688640"/>
        <c:axId val="57214080"/>
        <c:axId val="0"/>
      </c:bar3DChart>
      <c:catAx>
        <c:axId val="56688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7214080"/>
        <c:crosses val="autoZero"/>
        <c:auto val="1"/>
        <c:lblAlgn val="ctr"/>
        <c:lblOffset val="100"/>
        <c:tickLblSkip val="1"/>
        <c:tickMarkSkip val="1"/>
      </c:catAx>
      <c:valAx>
        <c:axId val="57214080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9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0"/>
              <c:y val="0.35277777777777991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6688640"/>
        <c:crosses val="autoZero"/>
        <c:crossBetween val="between"/>
        <c:majorUnit val="10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7777777777777772"/>
          <c:w val="0.16384180790960437"/>
          <c:h val="0.21111111111111144"/>
        </c:manualLayout>
      </c:layout>
      <c:spPr>
        <a:noFill/>
        <a:ln w="25399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6045197740112997E-2"/>
          <c:y val="1.0928961748633921E-2"/>
          <c:w val="0.77212806026365677"/>
          <c:h val="0.84972677595628421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100</c:v>
                </c:pt>
                <c:pt idx="1">
                  <c:v>35</c:v>
                </c:pt>
                <c:pt idx="3">
                  <c:v>65</c:v>
                </c:pt>
                <c:pt idx="4">
                  <c:v>85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0</c:v>
                </c:pt>
                <c:pt idx="1">
                  <c:v>65</c:v>
                </c:pt>
                <c:pt idx="3">
                  <c:v>30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66051072"/>
        <c:axId val="68529152"/>
        <c:axId val="0"/>
      </c:bar3DChart>
      <c:catAx>
        <c:axId val="660510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8529152"/>
        <c:crosses val="autoZero"/>
        <c:auto val="1"/>
        <c:lblAlgn val="ctr"/>
        <c:lblOffset val="100"/>
        <c:tickLblSkip val="1"/>
        <c:tickMarkSkip val="1"/>
      </c:catAx>
      <c:valAx>
        <c:axId val="68529152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9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3.7664783427495503E-3"/>
              <c:y val="0.3497267759562871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6051072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7923497267759982"/>
          <c:w val="0.16384180790960437"/>
          <c:h val="0.20765027322404367"/>
        </c:manualLayout>
      </c:layout>
      <c:spPr>
        <a:noFill/>
        <a:ln w="25400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4161958568738227E-2"/>
          <c:y val="1.1363636363636367E-2"/>
          <c:w val="0.77401129943503155"/>
          <c:h val="0.84659090909090906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30</c:v>
                </c:pt>
                <c:pt idx="1">
                  <c:v>0</c:v>
                </c:pt>
                <c:pt idx="3">
                  <c:v>25</c:v>
                </c:pt>
                <c:pt idx="4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70</c:v>
                </c:pt>
                <c:pt idx="1">
                  <c:v>40</c:v>
                </c:pt>
                <c:pt idx="3">
                  <c:v>65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77111296"/>
        <c:axId val="77657216"/>
        <c:axId val="0"/>
      </c:bar3DChart>
      <c:catAx>
        <c:axId val="771112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7657216"/>
        <c:crosses val="autoZero"/>
        <c:auto val="1"/>
        <c:lblAlgn val="ctr"/>
        <c:lblOffset val="100"/>
        <c:tickLblSkip val="1"/>
        <c:tickMarkSkip val="1"/>
      </c:catAx>
      <c:valAx>
        <c:axId val="77657216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0"/>
              <c:y val="0.3551136363636363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711129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7386363636364013"/>
          <c:w val="0.16384180790960437"/>
          <c:h val="0.21590909090909238"/>
        </c:manualLayout>
      </c:layout>
      <c:spPr>
        <a:noFill/>
        <a:ln w="25400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4161958568738227E-2"/>
          <c:y val="1.1299435028248589E-2"/>
          <c:w val="0.77401129943503155"/>
          <c:h val="0.84745762711864403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65</c:v>
                </c:pt>
                <c:pt idx="1">
                  <c:v>0</c:v>
                </c:pt>
                <c:pt idx="3">
                  <c:v>65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35</c:v>
                </c:pt>
                <c:pt idx="1">
                  <c:v>100</c:v>
                </c:pt>
                <c:pt idx="3">
                  <c:v>25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10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78474240"/>
        <c:axId val="78599296"/>
        <c:axId val="0"/>
      </c:bar3DChart>
      <c:catAx>
        <c:axId val="784742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8599296"/>
        <c:crosses val="autoZero"/>
        <c:auto val="1"/>
        <c:lblAlgn val="ctr"/>
        <c:lblOffset val="100"/>
        <c:tickLblSkip val="1"/>
        <c:tickMarkSkip val="1"/>
      </c:catAx>
      <c:valAx>
        <c:axId val="78599296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0"/>
              <c:y val="0.355932203389834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8474240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7627118644067865"/>
          <c:w val="0.16384180790960437"/>
          <c:h val="0.21468926553672449"/>
        </c:manualLayout>
      </c:layout>
      <c:spPr>
        <a:noFill/>
        <a:ln w="25400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hPercent val="7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6045197740112997E-2"/>
          <c:y val="1.066666666666668E-2"/>
          <c:w val="0.77212806026365677"/>
          <c:h val="0.85066666666666668"/>
        </c:manualLayout>
      </c:layout>
      <c:bar3D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Grade 0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99CC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95</c:v>
                </c:pt>
                <c:pt idx="1">
                  <c:v>50</c:v>
                </c:pt>
                <c:pt idx="3">
                  <c:v>65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Grade 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</c:v>
                </c:pt>
                <c:pt idx="1">
                  <c:v>30</c:v>
                </c:pt>
                <c:pt idx="3">
                  <c:v>30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Grade 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FF000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Grade III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0000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Grade IV</c:v>
                </c:pt>
              </c:strCache>
            </c:strRef>
          </c:tx>
          <c:spPr>
            <a:pattFill prst="pct5">
              <a:fgClr>
                <a:srgbClr val="FFFFFF"/>
              </a:fgClr>
              <a:bgClr>
                <a:srgbClr val="808080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BT</c:v>
                </c:pt>
                <c:pt idx="1">
                  <c:v>AT</c:v>
                </c:pt>
                <c:pt idx="2">
                  <c:v> </c:v>
                </c:pt>
                <c:pt idx="3">
                  <c:v>BT</c:v>
                </c:pt>
                <c:pt idx="4">
                  <c:v>AT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81326464"/>
        <c:axId val="81328000"/>
        <c:axId val="0"/>
      </c:bar3DChart>
      <c:catAx>
        <c:axId val="813264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1328000"/>
        <c:crosses val="autoZero"/>
        <c:auto val="1"/>
        <c:lblAlgn val="ctr"/>
        <c:lblOffset val="100"/>
        <c:tickLblSkip val="1"/>
        <c:tickMarkSkip val="1"/>
      </c:catAx>
      <c:valAx>
        <c:axId val="81328000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 sz="9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Percentage</a:t>
                </a:r>
              </a:p>
            </c:rich>
          </c:tx>
          <c:layout>
            <c:manualLayout>
              <c:xMode val="edge"/>
              <c:yMode val="edge"/>
              <c:x val="3.7664783427495503E-3"/>
              <c:y val="0.3493333333333333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IN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1326464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50847457627164"/>
          <c:y val="0.58133333333333337"/>
          <c:w val="0.16384180790960437"/>
          <c:h val="0.20266666666666666"/>
        </c:manualLayout>
      </c:layout>
      <c:spPr>
        <a:noFill/>
        <a:ln w="25400">
          <a:noFill/>
        </a:ln>
      </c:spPr>
      <c:txPr>
        <a:bodyPr/>
        <a:lstStyle/>
        <a:p>
          <a:pPr>
            <a:defRPr lang="en-IN" sz="735" b="1" i="1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5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0.82125</cdr:x>
      <cdr:y>0.518</cdr:y>
    </cdr:from>
    <cdr:to>
      <cdr:x>0.999</cdr:x>
      <cdr:y>0.587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514723"/>
          <a:ext cx="899019" cy="2017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Nausea</a:t>
          </a:r>
        </a:p>
      </cdr:txBody>
    </cdr:sp>
  </cdr:relSizeAnchor>
  <cdr:relSizeAnchor xmlns:cdr="http://schemas.openxmlformats.org/drawingml/2006/chartDrawing">
    <cdr:from>
      <cdr:x>0.58175</cdr:x>
      <cdr:y>0.925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2704862"/>
          <a:ext cx="900284" cy="2193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0.925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2704862"/>
          <a:ext cx="900284" cy="2193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0.82125</cdr:x>
      <cdr:y>0.51925</cdr:y>
    </cdr:from>
    <cdr:to>
      <cdr:x>0.999</cdr:x>
      <cdr:y>0.589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755779"/>
          <a:ext cx="899019" cy="235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Vomiting</a:t>
          </a:r>
        </a:p>
      </cdr:txBody>
    </cdr:sp>
  </cdr:relSizeAnchor>
  <cdr:relSizeAnchor xmlns:cdr="http://schemas.openxmlformats.org/drawingml/2006/chartDrawing">
    <cdr:from>
      <cdr:x>0.58175</cdr:x>
      <cdr:y>0.9295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3142988"/>
          <a:ext cx="900284" cy="2383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0.9295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3142988"/>
          <a:ext cx="900284" cy="2383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0.82125</cdr:x>
      <cdr:y>0.478</cdr:y>
    </cdr:from>
    <cdr:to>
      <cdr:x>0.999</cdr:x>
      <cdr:y>0.58775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639062"/>
          <a:ext cx="899019" cy="3763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Abdominal pain</a:t>
          </a:r>
        </a:p>
      </cdr:txBody>
    </cdr:sp>
  </cdr:relSizeAnchor>
  <cdr:relSizeAnchor xmlns:cdr="http://schemas.openxmlformats.org/drawingml/2006/chartDrawing">
    <cdr:from>
      <cdr:x>0.58175</cdr:x>
      <cdr:y>0.92775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3181255"/>
          <a:ext cx="900284" cy="2477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0.92775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3181255"/>
          <a:ext cx="900284" cy="2477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0.82125</cdr:x>
      <cdr:y>0.519</cdr:y>
    </cdr:from>
    <cdr:to>
      <cdr:x>0.999</cdr:x>
      <cdr:y>0.5885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809312"/>
          <a:ext cx="899019" cy="2422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Jaundice</a:t>
          </a:r>
        </a:p>
      </cdr:txBody>
    </cdr:sp>
  </cdr:relSizeAnchor>
  <cdr:relSizeAnchor xmlns:cdr="http://schemas.openxmlformats.org/drawingml/2006/chartDrawing">
    <cdr:from>
      <cdr:x>0.58175</cdr:x>
      <cdr:y>0.929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3238633"/>
          <a:ext cx="900284" cy="2475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50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0.929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3238633"/>
          <a:ext cx="900284" cy="2475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50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0.82125</cdr:x>
      <cdr:y>0.51925</cdr:y>
    </cdr:from>
    <cdr:to>
      <cdr:x>0.999</cdr:x>
      <cdr:y>0.58875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740941"/>
          <a:ext cx="899019" cy="2330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Bitter Taste</a:t>
          </a:r>
        </a:p>
      </cdr:txBody>
    </cdr:sp>
  </cdr:relSizeAnchor>
  <cdr:relSizeAnchor xmlns:cdr="http://schemas.openxmlformats.org/drawingml/2006/chartDrawing">
    <cdr:from>
      <cdr:x>0.58175</cdr:x>
      <cdr:y>0.929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3114751"/>
          <a:ext cx="900284" cy="2380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0.929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3114751"/>
          <a:ext cx="900284" cy="2380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0.82125</cdr:x>
      <cdr:y>0.5195</cdr:y>
    </cdr:from>
    <cdr:to>
      <cdr:x>0.999</cdr:x>
      <cdr:y>0.589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751676"/>
          <a:ext cx="899019" cy="2343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Diarrhoea</a:t>
          </a:r>
        </a:p>
      </cdr:txBody>
    </cdr:sp>
  </cdr:relSizeAnchor>
  <cdr:relSizeAnchor xmlns:cdr="http://schemas.openxmlformats.org/drawingml/2006/chartDrawing">
    <cdr:from>
      <cdr:x>0.58175</cdr:x>
      <cdr:y>0.9295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3134135"/>
          <a:ext cx="900284" cy="2377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0.9295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3134135"/>
          <a:ext cx="900284" cy="2377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0.82125</cdr:x>
      <cdr:y>0.51975</cdr:y>
    </cdr:from>
    <cdr:to>
      <cdr:x>0.999</cdr:x>
      <cdr:y>0.5895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53698" y="1856482"/>
          <a:ext cx="899019" cy="2491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18288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00" b="1" i="1" strike="noStrike">
              <a:solidFill>
                <a:srgbClr val="000000"/>
              </a:solidFill>
              <a:latin typeface="Arial"/>
              <a:cs typeface="Arial"/>
            </a:rPr>
            <a:t>Insomnia</a:t>
          </a:r>
        </a:p>
      </cdr:txBody>
    </cdr:sp>
  </cdr:relSizeAnchor>
  <cdr:relSizeAnchor xmlns:cdr="http://schemas.openxmlformats.org/drawingml/2006/chartDrawing">
    <cdr:from>
      <cdr:x>0.58175</cdr:x>
      <cdr:y>0.93075</cdr:y>
    </cdr:from>
    <cdr:to>
      <cdr:x>0.75975</cdr:x>
      <cdr:y>1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42361" y="3324523"/>
          <a:ext cx="900284" cy="2473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75" b="1" i="0" strike="noStrike">
              <a:solidFill>
                <a:srgbClr val="000000"/>
              </a:solidFill>
              <a:latin typeface="Arial"/>
              <a:cs typeface="Arial"/>
            </a:rPr>
            <a:t>Group B</a:t>
          </a:r>
        </a:p>
      </cdr:txBody>
    </cdr:sp>
  </cdr:relSizeAnchor>
  <cdr:relSizeAnchor xmlns:cdr="http://schemas.openxmlformats.org/drawingml/2006/chartDrawing">
    <cdr:from>
      <cdr:x>0.14325</cdr:x>
      <cdr:y>0.93075</cdr:y>
    </cdr:from>
    <cdr:to>
      <cdr:x>0.32125</cdr:x>
      <cdr:y>1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526" y="3324523"/>
          <a:ext cx="900284" cy="2473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75" b="1" i="0" strike="noStrike">
              <a:solidFill>
                <a:srgbClr val="000000"/>
              </a:solidFill>
              <a:latin typeface="Arial"/>
              <a:cs typeface="Arial"/>
            </a:rPr>
            <a:t>Group A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4626-A19A-47C8-88E7-B3B7605A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Arish MKS</dc:creator>
  <cp:keywords/>
  <dc:description/>
  <cp:lastModifiedBy>Arish MKS</cp:lastModifiedBy>
  <cp:revision>2</cp:revision>
  <dcterms:created xsi:type="dcterms:W3CDTF">2011-09-29T06:16:00Z</dcterms:created>
  <dcterms:modified xsi:type="dcterms:W3CDTF">2011-09-29T06:24:00Z</dcterms:modified>
</cp:coreProperties>
</file>